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5828F" w:sz="12" w:space="6"/>
        </w:pBdr>
        <w:spacing w:after="60" w:before="0"/>
      </w:pPr>
      <w:r>
        <w:rPr>
          <w:rFonts w:ascii="Calibri" w:cs="Calibri" w:eastAsia="Calibri" w:hAnsi="Calibri"/>
          <w:b/>
          <w:bCs/>
          <w:color w:val="16232F"/>
          <w:sz w:val="40"/>
          <w:szCs w:val="40"/>
        </w:rPr>
        <w:t xml:space="preserve">COMMUNITY LIAISON JOB DESCRIPTION</w:t>
      </w:r>
    </w:p>
    <w:p>
      <w:pPr>
        <w:spacing w:after="200" w:before="0"/>
      </w:pPr>
      <w:r>
        <w:rPr>
          <w:rFonts w:ascii="Calibri" w:cs="Calibri" w:eastAsia="Calibri" w:hAnsi="Calibri"/>
          <w:color w:val="4A5560"/>
          <w:sz w:val="19"/>
          <w:szCs w:val="19"/>
        </w:rPr>
        <w:t xml:space="preserve">Template for home care agencies from Approved Senior Network®</w:t>
      </w:r>
    </w:p>
    <w:p>
      <w:pPr>
        <w:spacing w:after="200" w:before="0"/>
      </w:pPr>
      <w:r>
        <w:rPr>
          <w:rFonts w:ascii="Calibri" w:cs="Calibri" w:eastAsia="Calibri" w:hAnsi="Calibri"/>
          <w:b/>
          <w:bCs/>
          <w:color w:val="16232F"/>
          <w:sz w:val="20"/>
          <w:szCs w:val="20"/>
        </w:rPr>
        <w:t xml:space="preserve">How to use this template: </w:t>
      </w:r>
      <w:r>
        <w:rPr>
          <w:rFonts w:ascii="Calibri" w:cs="Calibri" w:eastAsia="Calibri" w:hAnsi="Calibri"/>
          <w:color w:val="16232F"/>
          <w:sz w:val="20"/>
          <w:szCs w:val="20"/>
        </w:rPr>
        <w:t xml:space="preserve">replace every [bracketed] field with your agency's details, delete anything that does not fit your service model, and keep the KPI section. A liaison who is measured on outcomes plans a different day than one who is measured on miles.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Job title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Community Liaison [or your title: Community Relations Director, Business Development Representative, Referral Development Specialist]</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Agency</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[Agency name]</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Territory</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[Cities, counties, or ZIP codes covered]</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Reports to</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[Owner, Administrator, or Director of Business Development]</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Employment type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[Full-time or part-time]  [Exempt or non-exempt: confirm classification with HR or employment counsel]</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Travel</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Daily local travel within the territory [adjust to your policy]</w:t>
            </w:r>
          </w:p>
        </w:tc>
      </w:tr>
    </w:tbl>
    <w:p>
      <w:pPr>
        <w:keepNext/>
        <w:spacing w:after="60" w:before="320"/>
      </w:pPr>
      <w:r>
        <w:rPr>
          <w:rFonts w:ascii="Calibri" w:cs="Calibri" w:eastAsia="Calibri" w:hAnsi="Calibri"/>
          <w:b/>
          <w:bCs/>
          <w:color w:val="15828F"/>
          <w:sz w:val="26"/>
          <w:szCs w:val="26"/>
        </w:rPr>
        <w:t xml:space="preserve">1. ROLE SUMMARY</w:t>
      </w:r>
    </w:p>
    <w:p>
      <w:pPr>
        <w:spacing w:after="120" w:before="0"/>
      </w:pPr>
      <w:r>
        <w:rPr>
          <w:rFonts w:ascii="Calibri" w:cs="Calibri" w:eastAsia="Calibri" w:hAnsi="Calibri"/>
          <w:color w:val="16232F"/>
          <w:sz w:val="21"/>
          <w:szCs w:val="21"/>
        </w:rPr>
        <w:t xml:space="preserve">The Community Liaison builds and maintains relationships with the professionals who refer clients to [Agency name]: hospital case managers and discharge planners, rehab and skilled nursing social workers, home health and hospice teams, senior living staff, physician offices, care managers, elder law attorneys, and community organizations that serve older adults.</w:t>
      </w:r>
    </w:p>
    <w:p>
      <w:pPr>
        <w:spacing w:after="120" w:before="0"/>
      </w:pPr>
      <w:r>
        <w:rPr>
          <w:rFonts w:ascii="Calibri" w:cs="Calibri" w:eastAsia="Calibri" w:hAnsi="Calibri"/>
          <w:color w:val="16232F"/>
          <w:sz w:val="21"/>
          <w:szCs w:val="21"/>
        </w:rPr>
        <w:t xml:space="preserve">The liaison works a planned territory route, educates referral sources on what the agency can and cannot take on, follows up on every referral, and reports which relationships produce clients. Success in this role is measured by qualified referrals and starts of care, not by the number of stops made.</w:t>
      </w:r>
    </w:p>
    <w:p>
      <w:pPr>
        <w:keepNext/>
        <w:spacing w:after="60" w:before="320"/>
      </w:pPr>
      <w:r>
        <w:rPr>
          <w:rFonts w:ascii="Calibri" w:cs="Calibri" w:eastAsia="Calibri" w:hAnsi="Calibri"/>
          <w:b/>
          <w:bCs/>
          <w:color w:val="15828F"/>
          <w:sz w:val="26"/>
          <w:szCs w:val="26"/>
        </w:rPr>
        <w:t xml:space="preserve">2. KEY RESPONSIBILITIES</w:t>
      </w:r>
    </w:p>
    <w:p>
      <w:pPr>
        <w:keepNext/>
        <w:spacing w:after="40" w:before="160"/>
      </w:pPr>
      <w:r>
        <w:rPr>
          <w:rFonts w:ascii="Calibri" w:cs="Calibri" w:eastAsia="Calibri" w:hAnsi="Calibri"/>
          <w:b/>
          <w:bCs/>
          <w:color w:val="16232F"/>
          <w:sz w:val="21"/>
          <w:szCs w:val="21"/>
        </w:rPr>
        <w:t xml:space="preserve">Referral development</w:t>
      </w:r>
    </w:p>
    <w:p>
      <w:pPr>
        <w:pStyle w:val="ListParagraph"/>
        <w:numPr>
          <w:ilvl w:val="0"/>
          <w:numId w:val="2"/>
        </w:numPr>
        <w:spacing w:after="60" w:before="0"/>
      </w:pPr>
      <w:r>
        <w:rPr>
          <w:rFonts w:ascii="Calibri" w:cs="Calibri" w:eastAsia="Calibri" w:hAnsi="Calibri"/>
          <w:color w:val="16232F"/>
          <w:sz w:val="21"/>
          <w:szCs w:val="21"/>
        </w:rPr>
        <w:t xml:space="preserve">Identify, research, and rank referral sources in the territory by referral history and realistic potential (Tier 1, Tier 2, prospects).</w:t>
      </w:r>
    </w:p>
    <w:p>
      <w:pPr>
        <w:pStyle w:val="ListParagraph"/>
        <w:numPr>
          <w:ilvl w:val="0"/>
          <w:numId w:val="2"/>
        </w:numPr>
        <w:spacing w:after="60" w:before="0"/>
      </w:pPr>
      <w:r>
        <w:rPr>
          <w:rFonts w:ascii="Calibri" w:cs="Calibri" w:eastAsia="Calibri" w:hAnsi="Calibri"/>
          <w:color w:val="16232F"/>
          <w:sz w:val="21"/>
          <w:szCs w:val="21"/>
        </w:rPr>
        <w:t xml:space="preserve">Build relationships with the decision-makers and influencers at each account, not only the front desk.</w:t>
      </w:r>
    </w:p>
    <w:p>
      <w:pPr>
        <w:pStyle w:val="ListParagraph"/>
        <w:numPr>
          <w:ilvl w:val="0"/>
          <w:numId w:val="2"/>
        </w:numPr>
        <w:spacing w:after="60" w:before="0"/>
      </w:pPr>
      <w:r>
        <w:rPr>
          <w:rFonts w:ascii="Calibri" w:cs="Calibri" w:eastAsia="Calibri" w:hAnsi="Calibri"/>
          <w:color w:val="16232F"/>
          <w:sz w:val="21"/>
          <w:szCs w:val="21"/>
        </w:rPr>
        <w:t xml:space="preserve">Learn the recurring problems each referral source faces (discharge timing, dementia, overnight needs, families who resist help) and match them to what the agency does well.</w:t>
      </w:r>
    </w:p>
    <w:p>
      <w:pPr>
        <w:pStyle w:val="ListParagraph"/>
        <w:numPr>
          <w:ilvl w:val="0"/>
          <w:numId w:val="2"/>
        </w:numPr>
        <w:spacing w:after="60" w:before="0"/>
      </w:pPr>
      <w:r>
        <w:rPr>
          <w:rFonts w:ascii="Calibri" w:cs="Calibri" w:eastAsia="Calibri" w:hAnsi="Calibri"/>
          <w:color w:val="16232F"/>
          <w:sz w:val="21"/>
          <w:szCs w:val="21"/>
        </w:rPr>
        <w:t xml:space="preserve">Identify referral sources that have gone quiet and plan a reason to reconnect.</w:t>
      </w:r>
    </w:p>
    <w:p>
      <w:pPr>
        <w:keepNext/>
        <w:spacing w:after="40" w:before="160"/>
      </w:pPr>
      <w:r>
        <w:rPr>
          <w:rFonts w:ascii="Calibri" w:cs="Calibri" w:eastAsia="Calibri" w:hAnsi="Calibri"/>
          <w:b/>
          <w:bCs/>
          <w:color w:val="16232F"/>
          <w:sz w:val="21"/>
          <w:szCs w:val="21"/>
        </w:rPr>
        <w:t xml:space="preserve">Territory route</w:t>
      </w:r>
    </w:p>
    <w:p>
      <w:pPr>
        <w:pStyle w:val="ListParagraph"/>
        <w:numPr>
          <w:ilvl w:val="0"/>
          <w:numId w:val="2"/>
        </w:numPr>
        <w:spacing w:after="60" w:before="0"/>
      </w:pPr>
      <w:r>
        <w:rPr>
          <w:rFonts w:ascii="Calibri" w:cs="Calibri" w:eastAsia="Calibri" w:hAnsi="Calibri"/>
          <w:color w:val="16232F"/>
          <w:sz w:val="21"/>
          <w:szCs w:val="21"/>
        </w:rPr>
        <w:t xml:space="preserve">Plan a weekly route that keeps Tier 1 accounts on a set cadence and protects time for prospecting and follow-up.</w:t>
      </w:r>
    </w:p>
    <w:p>
      <w:pPr>
        <w:pStyle w:val="ListParagraph"/>
        <w:numPr>
          <w:ilvl w:val="0"/>
          <w:numId w:val="2"/>
        </w:numPr>
        <w:spacing w:after="60" w:before="0"/>
      </w:pPr>
      <w:r>
        <w:rPr>
          <w:rFonts w:ascii="Calibri" w:cs="Calibri" w:eastAsia="Calibri" w:hAnsi="Calibri"/>
          <w:color w:val="16232F"/>
          <w:sz w:val="21"/>
          <w:szCs w:val="21"/>
        </w:rPr>
        <w:t xml:space="preserve">Confirm current staffing capacity, service area, and accepted case types with operations before each field day, so nothing is promised that cannot be staffed.</w:t>
      </w:r>
    </w:p>
    <w:p>
      <w:pPr>
        <w:keepNext/>
        <w:spacing w:after="40" w:before="160"/>
      </w:pPr>
      <w:r>
        <w:rPr>
          <w:rFonts w:ascii="Calibri" w:cs="Calibri" w:eastAsia="Calibri" w:hAnsi="Calibri"/>
          <w:b/>
          <w:bCs/>
          <w:color w:val="16232F"/>
          <w:sz w:val="21"/>
          <w:szCs w:val="21"/>
        </w:rPr>
        <w:t xml:space="preserve">Account visits</w:t>
      </w:r>
    </w:p>
    <w:p>
      <w:pPr>
        <w:pStyle w:val="ListParagraph"/>
        <w:numPr>
          <w:ilvl w:val="0"/>
          <w:numId w:val="2"/>
        </w:numPr>
        <w:spacing w:after="60" w:before="0"/>
      </w:pPr>
      <w:r>
        <w:rPr>
          <w:rFonts w:ascii="Calibri" w:cs="Calibri" w:eastAsia="Calibri" w:hAnsi="Calibri"/>
          <w:color w:val="16232F"/>
          <w:sz w:val="21"/>
          <w:szCs w:val="21"/>
        </w:rPr>
        <w:t xml:space="preserve">Complete [number] face-to-face account visits per week, each with a stated purpose and an agreed next step.</w:t>
      </w:r>
    </w:p>
    <w:p>
      <w:pPr>
        <w:pStyle w:val="ListParagraph"/>
        <w:numPr>
          <w:ilvl w:val="0"/>
          <w:numId w:val="2"/>
        </w:numPr>
        <w:spacing w:after="60" w:before="0"/>
      </w:pPr>
      <w:r>
        <w:rPr>
          <w:rFonts w:ascii="Calibri" w:cs="Calibri" w:eastAsia="Calibri" w:hAnsi="Calibri"/>
          <w:color w:val="16232F"/>
          <w:sz w:val="21"/>
          <w:szCs w:val="21"/>
        </w:rPr>
        <w:t xml:space="preserve">Bring something useful to each visit (an update, a resource, an answer to a question raised last time) instead of asking for referrals every time.</w:t>
      </w:r>
    </w:p>
    <w:p>
      <w:pPr>
        <w:keepNext/>
        <w:spacing w:after="40" w:before="160"/>
      </w:pPr>
      <w:r>
        <w:rPr>
          <w:rFonts w:ascii="Calibri" w:cs="Calibri" w:eastAsia="Calibri" w:hAnsi="Calibri"/>
          <w:b/>
          <w:bCs/>
          <w:color w:val="16232F"/>
          <w:sz w:val="21"/>
          <w:szCs w:val="21"/>
        </w:rPr>
        <w:t xml:space="preserve">Education</w:t>
      </w:r>
    </w:p>
    <w:p>
      <w:pPr>
        <w:pStyle w:val="ListParagraph"/>
        <w:numPr>
          <w:ilvl w:val="0"/>
          <w:numId w:val="2"/>
        </w:numPr>
        <w:spacing w:after="60" w:before="0"/>
      </w:pPr>
      <w:r>
        <w:rPr>
          <w:rFonts w:ascii="Calibri" w:cs="Calibri" w:eastAsia="Calibri" w:hAnsi="Calibri"/>
          <w:color w:val="16232F"/>
          <w:sz w:val="21"/>
          <w:szCs w:val="21"/>
        </w:rPr>
        <w:t xml:space="preserve">Deliver educational presentations and lunch-and-learns on topics referral partners and families need, such as home care versus home health, paying for care, hospital-to-home transitions, and dementia care at home.</w:t>
      </w:r>
    </w:p>
    <w:p>
      <w:pPr>
        <w:pStyle w:val="ListParagraph"/>
        <w:numPr>
          <w:ilvl w:val="0"/>
          <w:numId w:val="2"/>
        </w:numPr>
        <w:spacing w:after="60" w:before="0"/>
      </w:pPr>
      <w:r>
        <w:rPr>
          <w:rFonts w:ascii="Calibri" w:cs="Calibri" w:eastAsia="Calibri" w:hAnsi="Calibri"/>
          <w:color w:val="16232F"/>
          <w:sz w:val="21"/>
          <w:szCs w:val="21"/>
        </w:rPr>
        <w:t xml:space="preserve">Share agency educational resources and bring the questions heard in the field back to marketing so new resources get built.</w:t>
      </w:r>
    </w:p>
    <w:p>
      <w:pPr>
        <w:keepNext/>
        <w:spacing w:after="40" w:before="160"/>
      </w:pPr>
      <w:r>
        <w:rPr>
          <w:rFonts w:ascii="Calibri" w:cs="Calibri" w:eastAsia="Calibri" w:hAnsi="Calibri"/>
          <w:b/>
          <w:bCs/>
          <w:color w:val="16232F"/>
          <w:sz w:val="21"/>
          <w:szCs w:val="21"/>
        </w:rPr>
        <w:t xml:space="preserve">Follow-up</w:t>
      </w:r>
    </w:p>
    <w:p>
      <w:pPr>
        <w:pStyle w:val="ListParagraph"/>
        <w:numPr>
          <w:ilvl w:val="0"/>
          <w:numId w:val="2"/>
        </w:numPr>
        <w:spacing w:after="60" w:before="0"/>
      </w:pPr>
      <w:r>
        <w:rPr>
          <w:rFonts w:ascii="Calibri" w:cs="Calibri" w:eastAsia="Calibri" w:hAnsi="Calibri"/>
          <w:color w:val="16232F"/>
          <w:sz w:val="21"/>
          <w:szCs w:val="21"/>
        </w:rPr>
        <w:t xml:space="preserve">Follow up on every referral and close the loop with the referring professional, within privacy rules, required authorizations, and agency policy.</w:t>
      </w:r>
    </w:p>
    <w:p>
      <w:pPr>
        <w:pStyle w:val="ListParagraph"/>
        <w:numPr>
          <w:ilvl w:val="0"/>
          <w:numId w:val="2"/>
        </w:numPr>
        <w:spacing w:after="60" w:before="0"/>
      </w:pPr>
      <w:r>
        <w:rPr>
          <w:rFonts w:ascii="Calibri" w:cs="Calibri" w:eastAsia="Calibri" w:hAnsi="Calibri"/>
          <w:color w:val="16232F"/>
          <w:sz w:val="21"/>
          <w:szCs w:val="21"/>
        </w:rPr>
        <w:t xml:space="preserve">Send promised resources and follow-up messages within [24 or 48] hours of each meeting.</w:t>
      </w:r>
    </w:p>
    <w:p>
      <w:pPr>
        <w:pStyle w:val="ListParagraph"/>
        <w:numPr>
          <w:ilvl w:val="0"/>
          <w:numId w:val="2"/>
        </w:numPr>
        <w:spacing w:after="60" w:before="0"/>
      </w:pPr>
      <w:r>
        <w:rPr>
          <w:rFonts w:ascii="Calibri" w:cs="Calibri" w:eastAsia="Calibri" w:hAnsi="Calibri"/>
          <w:color w:val="16232F"/>
          <w:sz w:val="21"/>
          <w:szCs w:val="21"/>
        </w:rPr>
        <w:t xml:space="preserve">Coordinate daily with intake, scheduling, and recruiting on new referrals, capacity, and case outcomes.</w:t>
      </w:r>
    </w:p>
    <w:p>
      <w:pPr>
        <w:keepNext/>
        <w:spacing w:after="40" w:before="160"/>
      </w:pPr>
      <w:r>
        <w:rPr>
          <w:rFonts w:ascii="Calibri" w:cs="Calibri" w:eastAsia="Calibri" w:hAnsi="Calibri"/>
          <w:b/>
          <w:bCs/>
          <w:color w:val="16232F"/>
          <w:sz w:val="21"/>
          <w:szCs w:val="21"/>
        </w:rPr>
        <w:t xml:space="preserve">CRM reporting</w:t>
      </w:r>
    </w:p>
    <w:p>
      <w:pPr>
        <w:pStyle w:val="ListParagraph"/>
        <w:numPr>
          <w:ilvl w:val="0"/>
          <w:numId w:val="2"/>
        </w:numPr>
        <w:spacing w:after="60" w:before="0"/>
      </w:pPr>
      <w:r>
        <w:rPr>
          <w:rFonts w:ascii="Calibri" w:cs="Calibri" w:eastAsia="Calibri" w:hAnsi="Calibri"/>
          <w:color w:val="16232F"/>
          <w:sz w:val="21"/>
          <w:szCs w:val="21"/>
        </w:rPr>
        <w:t xml:space="preserve">Log every visit, conversation, follow-up, and referral in [CRM name] the same day.</w:t>
      </w:r>
    </w:p>
    <w:p>
      <w:pPr>
        <w:pStyle w:val="ListParagraph"/>
        <w:numPr>
          <w:ilvl w:val="0"/>
          <w:numId w:val="2"/>
        </w:numPr>
        <w:spacing w:after="60" w:before="0"/>
      </w:pPr>
      <w:r>
        <w:rPr>
          <w:rFonts w:ascii="Calibri" w:cs="Calibri" w:eastAsia="Calibri" w:hAnsi="Calibri"/>
          <w:color w:val="16232F"/>
          <w:sz w:val="21"/>
          <w:szCs w:val="21"/>
        </w:rPr>
        <w:t xml:space="preserve">Make sure the referral source is recorded on every inquiry and a reason is recorded for every lost referral.</w:t>
      </w:r>
    </w:p>
    <w:p>
      <w:pPr>
        <w:pStyle w:val="ListParagraph"/>
        <w:numPr>
          <w:ilvl w:val="0"/>
          <w:numId w:val="2"/>
        </w:numPr>
        <w:spacing w:after="60" w:before="0"/>
      </w:pPr>
      <w:r>
        <w:rPr>
          <w:rFonts w:ascii="Calibri" w:cs="Calibri" w:eastAsia="Calibri" w:hAnsi="Calibri"/>
          <w:color w:val="16232F"/>
          <w:sz w:val="21"/>
          <w:szCs w:val="21"/>
        </w:rPr>
        <w:t xml:space="preserve">Prepare a weekly activity and outcome report and review the referral pipeline with [Reports to] each week.</w:t>
      </w:r>
    </w:p>
    <w:p>
      <w:pPr>
        <w:keepNext/>
        <w:spacing w:after="40" w:before="160"/>
      </w:pPr>
      <w:r>
        <w:rPr>
          <w:rFonts w:ascii="Calibri" w:cs="Calibri" w:eastAsia="Calibri" w:hAnsi="Calibri"/>
          <w:b/>
          <w:bCs/>
          <w:color w:val="16232F"/>
          <w:sz w:val="21"/>
          <w:szCs w:val="21"/>
        </w:rPr>
        <w:t xml:space="preserve">Community events</w:t>
      </w:r>
    </w:p>
    <w:p>
      <w:pPr>
        <w:pStyle w:val="ListParagraph"/>
        <w:numPr>
          <w:ilvl w:val="0"/>
          <w:numId w:val="2"/>
        </w:numPr>
        <w:spacing w:after="60" w:before="0"/>
      </w:pPr>
      <w:r>
        <w:rPr>
          <w:rFonts w:ascii="Calibri" w:cs="Calibri" w:eastAsia="Calibri" w:hAnsi="Calibri"/>
          <w:color w:val="16232F"/>
          <w:sz w:val="21"/>
          <w:szCs w:val="21"/>
        </w:rPr>
        <w:t xml:space="preserve">Represent the agency at community, professional association, and networking events chosen for their referral value.</w:t>
      </w:r>
    </w:p>
    <w:p>
      <w:pPr>
        <w:pStyle w:val="ListParagraph"/>
        <w:numPr>
          <w:ilvl w:val="0"/>
          <w:numId w:val="2"/>
        </w:numPr>
        <w:spacing w:after="60" w:before="0"/>
      </w:pPr>
      <w:r>
        <w:rPr>
          <w:rFonts w:ascii="Calibri" w:cs="Calibri" w:eastAsia="Calibri" w:hAnsi="Calibri"/>
          <w:color w:val="16232F"/>
          <w:sz w:val="21"/>
          <w:szCs w:val="21"/>
        </w:rPr>
        <w:t xml:space="preserve">Coordinate agency participation in health fairs, senior expos, and caregiver education events [as approved].</w:t>
      </w:r>
    </w:p>
    <w:p>
      <w:pPr>
        <w:pStyle w:val="ListParagraph"/>
        <w:numPr>
          <w:ilvl w:val="0"/>
          <w:numId w:val="2"/>
        </w:numPr>
        <w:spacing w:after="60" w:before="0"/>
      </w:pPr>
      <w:r>
        <w:rPr>
          <w:rFonts w:ascii="Calibri" w:cs="Calibri" w:eastAsia="Calibri" w:hAnsi="Calibri"/>
          <w:color w:val="16232F"/>
          <w:sz w:val="21"/>
          <w:szCs w:val="21"/>
        </w:rPr>
        <w:t xml:space="preserve">Get advance approval, under agency policy, for any gift, meal, sponsorship, or item of value connected to a referral source.</w:t>
      </w:r>
    </w:p>
    <w:p>
      <w:pPr>
        <w:keepNext/>
        <w:spacing w:after="60" w:before="320"/>
      </w:pPr>
      <w:r>
        <w:rPr>
          <w:rFonts w:ascii="Calibri" w:cs="Calibri" w:eastAsia="Calibri" w:hAnsi="Calibri"/>
          <w:b/>
          <w:bCs/>
          <w:color w:val="15828F"/>
          <w:sz w:val="26"/>
          <w:szCs w:val="26"/>
        </w:rPr>
        <w:t xml:space="preserve">3. QUALIFICATIONS</w:t>
      </w:r>
    </w:p>
    <w:p>
      <w:pPr>
        <w:pStyle w:val="ListParagraph"/>
        <w:numPr>
          <w:ilvl w:val="0"/>
          <w:numId w:val="2"/>
        </w:numPr>
        <w:spacing w:after="60" w:before="0"/>
      </w:pPr>
      <w:r>
        <w:rPr>
          <w:rFonts w:ascii="Calibri" w:cs="Calibri" w:eastAsia="Calibri" w:hAnsi="Calibri"/>
          <w:color w:val="16232F"/>
          <w:sz w:val="21"/>
          <w:szCs w:val="21"/>
        </w:rPr>
        <w:t xml:space="preserve">[Number] years of experience in business development, community relations, or a relationship-based role in home care, home health, hospice, senior living, or healthcare [adjust].</w:t>
      </w:r>
    </w:p>
    <w:p>
      <w:pPr>
        <w:pStyle w:val="ListParagraph"/>
        <w:numPr>
          <w:ilvl w:val="0"/>
          <w:numId w:val="2"/>
        </w:numPr>
        <w:spacing w:after="60" w:before="0"/>
      </w:pPr>
      <w:r>
        <w:rPr>
          <w:rFonts w:ascii="Calibri" w:cs="Calibri" w:eastAsia="Calibri" w:hAnsi="Calibri"/>
          <w:color w:val="16232F"/>
          <w:sz w:val="21"/>
          <w:szCs w:val="21"/>
        </w:rPr>
        <w:t xml:space="preserve">Working knowledge of the local healthcare and senior care community [preferred].</w:t>
      </w:r>
    </w:p>
    <w:p>
      <w:pPr>
        <w:pStyle w:val="ListParagraph"/>
        <w:numPr>
          <w:ilvl w:val="0"/>
          <w:numId w:val="2"/>
        </w:numPr>
        <w:spacing w:after="60" w:before="0"/>
      </w:pPr>
      <w:r>
        <w:rPr>
          <w:rFonts w:ascii="Calibri" w:cs="Calibri" w:eastAsia="Calibri" w:hAnsi="Calibri"/>
          <w:color w:val="16232F"/>
          <w:sz w:val="21"/>
          <w:szCs w:val="21"/>
        </w:rPr>
        <w:t xml:space="preserve">Understands the difference between private duty home care, home health, and hospice, and how families typically pay for care.</w:t>
      </w:r>
    </w:p>
    <w:p>
      <w:pPr>
        <w:pStyle w:val="ListParagraph"/>
        <w:numPr>
          <w:ilvl w:val="0"/>
          <w:numId w:val="2"/>
        </w:numPr>
        <w:spacing w:after="60" w:before="0"/>
      </w:pPr>
      <w:r>
        <w:rPr>
          <w:rFonts w:ascii="Calibri" w:cs="Calibri" w:eastAsia="Calibri" w:hAnsi="Calibri"/>
          <w:color w:val="16232F"/>
          <w:sz w:val="21"/>
          <w:szCs w:val="21"/>
        </w:rPr>
        <w:t xml:space="preserve">Valid driver's license, reliable transportation, and auto insurance that meets agency requirements.</w:t>
      </w:r>
    </w:p>
    <w:p>
      <w:pPr>
        <w:pStyle w:val="ListParagraph"/>
        <w:numPr>
          <w:ilvl w:val="0"/>
          <w:numId w:val="2"/>
        </w:numPr>
        <w:spacing w:after="60" w:before="0"/>
      </w:pPr>
      <w:r>
        <w:rPr>
          <w:rFonts w:ascii="Calibri" w:cs="Calibri" w:eastAsia="Calibri" w:hAnsi="Calibri"/>
          <w:color w:val="16232F"/>
          <w:sz w:val="21"/>
          <w:szCs w:val="21"/>
        </w:rPr>
        <w:t xml:space="preserve">Comfortable using a CRM, email, and a smartphone in the field.</w:t>
      </w:r>
    </w:p>
    <w:p>
      <w:pPr>
        <w:pStyle w:val="ListParagraph"/>
        <w:numPr>
          <w:ilvl w:val="0"/>
          <w:numId w:val="2"/>
        </w:numPr>
        <w:spacing w:after="60" w:before="0"/>
      </w:pPr>
      <w:r>
        <w:rPr>
          <w:rFonts w:ascii="Calibri" w:cs="Calibri" w:eastAsia="Calibri" w:hAnsi="Calibri"/>
          <w:color w:val="16232F"/>
          <w:sz w:val="21"/>
          <w:szCs w:val="21"/>
        </w:rPr>
        <w:t xml:space="preserve">[Education or certification requirements, if any]</w:t>
      </w:r>
    </w:p>
    <w:p>
      <w:pPr>
        <w:pStyle w:val="ListParagraph"/>
        <w:numPr>
          <w:ilvl w:val="0"/>
          <w:numId w:val="2"/>
        </w:numPr>
        <w:spacing w:after="60" w:before="0"/>
      </w:pPr>
      <w:r>
        <w:rPr>
          <w:rFonts w:ascii="Calibri" w:cs="Calibri" w:eastAsia="Calibri" w:hAnsi="Calibri"/>
          <w:color w:val="16232F"/>
          <w:sz w:val="21"/>
          <w:szCs w:val="21"/>
        </w:rPr>
        <w:t xml:space="preserve">Able to pass the background check and screening required by agency policy and applicable law.</w:t>
      </w:r>
    </w:p>
    <w:p>
      <w:pPr>
        <w:keepNext/>
        <w:spacing w:after="60" w:before="320"/>
      </w:pPr>
      <w:r>
        <w:rPr>
          <w:rFonts w:ascii="Calibri" w:cs="Calibri" w:eastAsia="Calibri" w:hAnsi="Calibri"/>
          <w:b/>
          <w:bCs/>
          <w:color w:val="15828F"/>
          <w:sz w:val="26"/>
          <w:szCs w:val="26"/>
        </w:rPr>
        <w:t xml:space="preserve">4. SKILLS</w:t>
      </w:r>
    </w:p>
    <w:p>
      <w:pPr>
        <w:pStyle w:val="ListParagraph"/>
        <w:numPr>
          <w:ilvl w:val="0"/>
          <w:numId w:val="2"/>
        </w:numPr>
        <w:spacing w:after="60" w:before="0"/>
      </w:pPr>
      <w:r>
        <w:rPr>
          <w:rFonts w:ascii="Calibri" w:cs="Calibri" w:eastAsia="Calibri" w:hAnsi="Calibri"/>
          <w:color w:val="16232F"/>
          <w:sz w:val="21"/>
          <w:szCs w:val="21"/>
        </w:rPr>
        <w:t xml:space="preserve">Asks good questions and listens more than talks.</w:t>
      </w:r>
    </w:p>
    <w:p>
      <w:pPr>
        <w:pStyle w:val="ListParagraph"/>
        <w:numPr>
          <w:ilvl w:val="0"/>
          <w:numId w:val="2"/>
        </w:numPr>
        <w:spacing w:after="60" w:before="0"/>
      </w:pPr>
      <w:r>
        <w:rPr>
          <w:rFonts w:ascii="Calibri" w:cs="Calibri" w:eastAsia="Calibri" w:hAnsi="Calibri"/>
          <w:color w:val="16232F"/>
          <w:sz w:val="21"/>
          <w:szCs w:val="21"/>
        </w:rPr>
        <w:t xml:space="preserve">Clear, professional communication in person, by phone, and in writing.</w:t>
      </w:r>
    </w:p>
    <w:p>
      <w:pPr>
        <w:pStyle w:val="ListParagraph"/>
        <w:numPr>
          <w:ilvl w:val="0"/>
          <w:numId w:val="2"/>
        </w:numPr>
        <w:spacing w:after="60" w:before="0"/>
      </w:pPr>
      <w:r>
        <w:rPr>
          <w:rFonts w:ascii="Calibri" w:cs="Calibri" w:eastAsia="Calibri" w:hAnsi="Calibri"/>
          <w:color w:val="16232F"/>
          <w:sz w:val="21"/>
          <w:szCs w:val="21"/>
        </w:rPr>
        <w:t xml:space="preserve">Plans and manages time across a territory without daily direction.</w:t>
      </w:r>
    </w:p>
    <w:p>
      <w:pPr>
        <w:pStyle w:val="ListParagraph"/>
        <w:numPr>
          <w:ilvl w:val="0"/>
          <w:numId w:val="2"/>
        </w:numPr>
        <w:spacing w:after="60" w:before="0"/>
      </w:pPr>
      <w:r>
        <w:rPr>
          <w:rFonts w:ascii="Calibri" w:cs="Calibri" w:eastAsia="Calibri" w:hAnsi="Calibri"/>
          <w:color w:val="16232F"/>
          <w:sz w:val="21"/>
          <w:szCs w:val="21"/>
        </w:rPr>
        <w:t xml:space="preserve">Follows through on every commitment, every time.</w:t>
      </w:r>
    </w:p>
    <w:p>
      <w:pPr>
        <w:pStyle w:val="ListParagraph"/>
        <w:numPr>
          <w:ilvl w:val="0"/>
          <w:numId w:val="2"/>
        </w:numPr>
        <w:spacing w:after="60" w:before="0"/>
      </w:pPr>
      <w:r>
        <w:rPr>
          <w:rFonts w:ascii="Calibri" w:cs="Calibri" w:eastAsia="Calibri" w:hAnsi="Calibri"/>
          <w:color w:val="16232F"/>
          <w:sz w:val="21"/>
          <w:szCs w:val="21"/>
        </w:rPr>
        <w:t xml:space="preserve">Presents comfortably to small groups of professionals.</w:t>
      </w:r>
    </w:p>
    <w:p>
      <w:pPr>
        <w:pStyle w:val="ListParagraph"/>
        <w:numPr>
          <w:ilvl w:val="0"/>
          <w:numId w:val="2"/>
        </w:numPr>
        <w:spacing w:after="60" w:before="0"/>
      </w:pPr>
      <w:r>
        <w:rPr>
          <w:rFonts w:ascii="Calibri" w:cs="Calibri" w:eastAsia="Calibri" w:hAnsi="Calibri"/>
          <w:color w:val="16232F"/>
          <w:sz w:val="21"/>
          <w:szCs w:val="21"/>
        </w:rPr>
        <w:t xml:space="preserve">Documents consistently and keeps CRM records current.</w:t>
      </w:r>
    </w:p>
    <w:p>
      <w:pPr>
        <w:pStyle w:val="ListParagraph"/>
        <w:numPr>
          <w:ilvl w:val="0"/>
          <w:numId w:val="2"/>
        </w:numPr>
        <w:spacing w:after="60" w:before="0"/>
      </w:pPr>
      <w:r>
        <w:rPr>
          <w:rFonts w:ascii="Calibri" w:cs="Calibri" w:eastAsia="Calibri" w:hAnsi="Calibri"/>
          <w:color w:val="16232F"/>
          <w:sz w:val="21"/>
          <w:szCs w:val="21"/>
        </w:rPr>
        <w:t xml:space="preserve">Knows what the agency can and cannot take on, and says so honestly.</w:t>
      </w:r>
    </w:p>
    <w:p>
      <w:pPr>
        <w:pStyle w:val="ListParagraph"/>
        <w:numPr>
          <w:ilvl w:val="0"/>
          <w:numId w:val="2"/>
        </w:numPr>
        <w:spacing w:after="60" w:before="0"/>
      </w:pPr>
      <w:r>
        <w:rPr>
          <w:rFonts w:ascii="Calibri" w:cs="Calibri" w:eastAsia="Calibri" w:hAnsi="Calibri"/>
          <w:color w:val="16232F"/>
          <w:sz w:val="21"/>
          <w:szCs w:val="21"/>
        </w:rPr>
        <w:t xml:space="preserve">Comfortable being measured on outcomes, not activity alone.</w:t>
      </w:r>
    </w:p>
    <w:p>
      <w:pPr>
        <w:keepNext/>
        <w:spacing w:after="60" w:before="320"/>
      </w:pPr>
      <w:r>
        <w:rPr>
          <w:rFonts w:ascii="Calibri" w:cs="Calibri" w:eastAsia="Calibri" w:hAnsi="Calibri"/>
          <w:b/>
          <w:bCs/>
          <w:color w:val="15828F"/>
          <w:sz w:val="26"/>
          <w:szCs w:val="26"/>
        </w:rPr>
        <w:t xml:space="preserve">5. KPIs TO TRACK</w:t>
      </w:r>
    </w:p>
    <w:p>
      <w:pPr>
        <w:spacing w:after="120" w:before="0"/>
      </w:pPr>
      <w:r>
        <w:rPr>
          <w:rFonts w:ascii="Calibri" w:cs="Calibri" w:eastAsia="Calibri" w:hAnsi="Calibri"/>
          <w:color w:val="4A5560"/>
          <w:sz w:val="19"/>
          <w:szCs w:val="19"/>
        </w:rPr>
        <w:t xml:space="preserve">Set targets with the liaison after the first 60 to 90 days of real data. Review weekly, decide monthly.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5680"/>
        <w:gridCol w:w="1800"/>
      </w:tblGrid>
      <w:tr>
        <w:trPr>
          <w:tblHeader/>
        </w:trPr>
        <w:tc>
          <w:tcPr>
            <w:tcW w:type="dxa" w:w="2600"/>
            <w:tcBorders>
              <w:top w:val="single" w:color="C9C2B5" w:sz="4"/>
              <w:left w:val="single" w:color="C9C2B5" w:sz="4"/>
              <w:bottom w:val="single" w:color="C9C2B5" w:sz="4"/>
              <w:right w:val="single" w:color="C9C2B5" w:sz="4"/>
            </w:tcBorders>
            <w:shd w:fill="15828F" w:color="auto" w:val="clear"/>
            <w:tcMar>
              <w:top w:type="dxa" w:w="90"/>
              <w:left w:type="dxa" w:w="100"/>
              <w:bottom w:type="dxa" w:w="90"/>
              <w:right w:type="dxa" w:w="100"/>
            </w:tcMar>
          </w:tcPr>
          <w:p>
            <w:pPr>
              <w:spacing w:after="0" w:before="0"/>
            </w:pPr>
            <w:r>
              <w:rPr>
                <w:rFonts w:ascii="Calibri" w:cs="Calibri" w:eastAsia="Calibri" w:hAnsi="Calibri"/>
                <w:b/>
                <w:bCs/>
                <w:color w:val="FFFFFF"/>
                <w:sz w:val="19"/>
                <w:szCs w:val="19"/>
              </w:rPr>
              <w:t xml:space="preserve">KPI</w:t>
            </w:r>
          </w:p>
        </w:tc>
        <w:tc>
          <w:tcPr>
            <w:tcW w:type="dxa" w:w="5680"/>
            <w:tcBorders>
              <w:top w:val="single" w:color="C9C2B5" w:sz="4"/>
              <w:left w:val="single" w:color="C9C2B5" w:sz="4"/>
              <w:bottom w:val="single" w:color="C9C2B5" w:sz="4"/>
              <w:right w:val="single" w:color="C9C2B5" w:sz="4"/>
            </w:tcBorders>
            <w:shd w:fill="15828F" w:color="auto" w:val="clear"/>
            <w:tcMar>
              <w:top w:type="dxa" w:w="90"/>
              <w:left w:type="dxa" w:w="100"/>
              <w:bottom w:type="dxa" w:w="90"/>
              <w:right w:type="dxa" w:w="100"/>
            </w:tcMar>
          </w:tcPr>
          <w:p>
            <w:pPr>
              <w:spacing w:after="0" w:before="0"/>
            </w:pPr>
            <w:r>
              <w:rPr>
                <w:rFonts w:ascii="Calibri" w:cs="Calibri" w:eastAsia="Calibri" w:hAnsi="Calibri"/>
                <w:b/>
                <w:bCs/>
                <w:color w:val="FFFFFF"/>
                <w:sz w:val="19"/>
                <w:szCs w:val="19"/>
              </w:rPr>
              <w:t xml:space="preserve">What it measures</w:t>
            </w:r>
          </w:p>
        </w:tc>
        <w:tc>
          <w:tcPr>
            <w:tcW w:type="dxa" w:w="1800"/>
            <w:tcBorders>
              <w:top w:val="single" w:color="C9C2B5" w:sz="4"/>
              <w:left w:val="single" w:color="C9C2B5" w:sz="4"/>
              <w:bottom w:val="single" w:color="C9C2B5" w:sz="4"/>
              <w:right w:val="single" w:color="C9C2B5" w:sz="4"/>
            </w:tcBorders>
            <w:shd w:fill="15828F" w:color="auto" w:val="clear"/>
            <w:tcMar>
              <w:top w:type="dxa" w:w="90"/>
              <w:left w:type="dxa" w:w="100"/>
              <w:bottom w:type="dxa" w:w="90"/>
              <w:right w:type="dxa" w:w="100"/>
            </w:tcMar>
          </w:tcPr>
          <w:p>
            <w:pPr>
              <w:spacing w:after="0" w:before="0"/>
            </w:pPr>
            <w:r>
              <w:rPr>
                <w:rFonts w:ascii="Calibri" w:cs="Calibri" w:eastAsia="Calibri" w:hAnsi="Calibri"/>
                <w:b/>
                <w:bCs/>
                <w:color w:val="FFFFFF"/>
                <w:sz w:val="19"/>
                <w:szCs w:val="19"/>
              </w:rPr>
              <w:t xml:space="preserve">Target</w:t>
            </w:r>
          </w:p>
        </w:tc>
      </w:tr>
      <w:tr>
        <w:trPr>
          <w:cantSplit/>
          <w:trHeight w:val="440" w:hRule="atLeast"/>
        </w:trPr>
        <w:tc>
          <w:tcPr>
            <w:tcW w:type="dxa" w:w="2600"/>
            <w:tcBorders>
              <w:top w:val="single" w:color="C9C2B5" w:sz="4"/>
              <w:left w:val="single" w:color="C9C2B5" w:sz="4"/>
              <w:bottom w:val="single" w:color="C9C2B5" w:sz="4"/>
              <w:right w:val="single" w:color="C9C2B5" w:sz="4"/>
            </w:tcBorders>
            <w:shd w:fill="F2EDE4" w:color="auto" w:val="clear"/>
            <w:tcMar>
              <w:top w:type="dxa" w:w="90"/>
              <w:left w:type="dxa" w:w="100"/>
              <w:bottom w:type="dxa" w:w="90"/>
              <w:right w:type="dxa" w:w="100"/>
            </w:tcMar>
          </w:tcPr>
          <w:p>
            <w:pPr>
              <w:spacing w:after="0" w:before="0"/>
            </w:pPr>
            <w:r>
              <w:rPr>
                <w:rFonts w:ascii="Calibri" w:cs="Calibri" w:eastAsia="Calibri" w:hAnsi="Calibri"/>
                <w:b/>
                <w:bCs/>
                <w:color w:val="16232F"/>
                <w:sz w:val="19"/>
                <w:szCs w:val="19"/>
              </w:rPr>
              <w:t xml:space="preserve">Quality conversations</w:t>
            </w:r>
          </w:p>
        </w:tc>
        <w:tc>
          <w:tcPr>
            <w:tcW w:type="dxa" w:w="568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Face-to-face conversations with a decision-maker or influencer that end with a next step. Not drop-offs.</w:t>
            </w:r>
          </w:p>
        </w:tc>
        <w:tc>
          <w:tcPr>
            <w:tcW w:type="dxa" w:w="180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[fill in] / week</w:t>
            </w:r>
          </w:p>
        </w:tc>
      </w:tr>
      <w:tr>
        <w:trPr>
          <w:cantSplit/>
          <w:trHeight w:val="440" w:hRule="atLeast"/>
        </w:trPr>
        <w:tc>
          <w:tcPr>
            <w:tcW w:type="dxa" w:w="2600"/>
            <w:tcBorders>
              <w:top w:val="single" w:color="C9C2B5" w:sz="4"/>
              <w:left w:val="single" w:color="C9C2B5" w:sz="4"/>
              <w:bottom w:val="single" w:color="C9C2B5" w:sz="4"/>
              <w:right w:val="single" w:color="C9C2B5" w:sz="4"/>
            </w:tcBorders>
            <w:shd w:fill="F2EDE4" w:color="auto" w:val="clear"/>
            <w:tcMar>
              <w:top w:type="dxa" w:w="90"/>
              <w:left w:type="dxa" w:w="100"/>
              <w:bottom w:type="dxa" w:w="90"/>
              <w:right w:type="dxa" w:w="100"/>
            </w:tcMar>
          </w:tcPr>
          <w:p>
            <w:pPr>
              <w:spacing w:after="0" w:before="0"/>
            </w:pPr>
            <w:r>
              <w:rPr>
                <w:rFonts w:ascii="Calibri" w:cs="Calibri" w:eastAsia="Calibri" w:hAnsi="Calibri"/>
                <w:b/>
                <w:bCs/>
                <w:color w:val="16232F"/>
                <w:sz w:val="19"/>
                <w:szCs w:val="19"/>
              </w:rPr>
              <w:t xml:space="preserve">Referrals by source</w:t>
            </w:r>
          </w:p>
        </w:tc>
        <w:tc>
          <w:tcPr>
            <w:tcW w:type="dxa" w:w="568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Referrals received, logged by referring organization and person.</w:t>
            </w:r>
          </w:p>
        </w:tc>
        <w:tc>
          <w:tcPr>
            <w:tcW w:type="dxa" w:w="180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[fill in] / month</w:t>
            </w:r>
          </w:p>
        </w:tc>
      </w:tr>
      <w:tr>
        <w:trPr>
          <w:cantSplit/>
          <w:trHeight w:val="440" w:hRule="atLeast"/>
        </w:trPr>
        <w:tc>
          <w:tcPr>
            <w:tcW w:type="dxa" w:w="2600"/>
            <w:tcBorders>
              <w:top w:val="single" w:color="C9C2B5" w:sz="4"/>
              <w:left w:val="single" w:color="C9C2B5" w:sz="4"/>
              <w:bottom w:val="single" w:color="C9C2B5" w:sz="4"/>
              <w:right w:val="single" w:color="C9C2B5" w:sz="4"/>
            </w:tcBorders>
            <w:shd w:fill="F2EDE4" w:color="auto" w:val="clear"/>
            <w:tcMar>
              <w:top w:type="dxa" w:w="90"/>
              <w:left w:type="dxa" w:w="100"/>
              <w:bottom w:type="dxa" w:w="90"/>
              <w:right w:type="dxa" w:w="100"/>
            </w:tcMar>
          </w:tcPr>
          <w:p>
            <w:pPr>
              <w:spacing w:after="0" w:before="0"/>
            </w:pPr>
            <w:r>
              <w:rPr>
                <w:rFonts w:ascii="Calibri" w:cs="Calibri" w:eastAsia="Calibri" w:hAnsi="Calibri"/>
                <w:b/>
                <w:bCs/>
                <w:color w:val="16232F"/>
                <w:sz w:val="19"/>
                <w:szCs w:val="19"/>
              </w:rPr>
              <w:t xml:space="preserve">Active referral sources</w:t>
            </w:r>
          </w:p>
        </w:tc>
        <w:tc>
          <w:tcPr>
            <w:tcW w:type="dxa" w:w="568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Sources that have referred at least once in the last 90 days.</w:t>
            </w:r>
          </w:p>
        </w:tc>
        <w:tc>
          <w:tcPr>
            <w:tcW w:type="dxa" w:w="180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[fill in]</w:t>
            </w:r>
          </w:p>
        </w:tc>
      </w:tr>
      <w:tr>
        <w:trPr>
          <w:cantSplit/>
          <w:trHeight w:val="440" w:hRule="atLeast"/>
        </w:trPr>
        <w:tc>
          <w:tcPr>
            <w:tcW w:type="dxa" w:w="2600"/>
            <w:tcBorders>
              <w:top w:val="single" w:color="C9C2B5" w:sz="4"/>
              <w:left w:val="single" w:color="C9C2B5" w:sz="4"/>
              <w:bottom w:val="single" w:color="C9C2B5" w:sz="4"/>
              <w:right w:val="single" w:color="C9C2B5" w:sz="4"/>
            </w:tcBorders>
            <w:shd w:fill="F2EDE4" w:color="auto" w:val="clear"/>
            <w:tcMar>
              <w:top w:type="dxa" w:w="90"/>
              <w:left w:type="dxa" w:w="100"/>
              <w:bottom w:type="dxa" w:w="90"/>
              <w:right w:type="dxa" w:w="100"/>
            </w:tcMar>
          </w:tcPr>
          <w:p>
            <w:pPr>
              <w:spacing w:after="0" w:before="0"/>
            </w:pPr>
            <w:r>
              <w:rPr>
                <w:rFonts w:ascii="Calibri" w:cs="Calibri" w:eastAsia="Calibri" w:hAnsi="Calibri"/>
                <w:b/>
                <w:bCs/>
                <w:color w:val="16232F"/>
                <w:sz w:val="19"/>
                <w:szCs w:val="19"/>
              </w:rPr>
              <w:t xml:space="preserve">Qualified referral rate</w:t>
            </w:r>
          </w:p>
        </w:tc>
        <w:tc>
          <w:tcPr>
            <w:tcW w:type="dxa" w:w="568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Share of referrals the agency can serve (service area, case type, capacity).</w:t>
            </w:r>
          </w:p>
        </w:tc>
        <w:tc>
          <w:tcPr>
            <w:tcW w:type="dxa" w:w="180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[fill in] %</w:t>
            </w:r>
          </w:p>
        </w:tc>
      </w:tr>
      <w:tr>
        <w:trPr>
          <w:cantSplit/>
          <w:trHeight w:val="440" w:hRule="atLeast"/>
        </w:trPr>
        <w:tc>
          <w:tcPr>
            <w:tcW w:type="dxa" w:w="2600"/>
            <w:tcBorders>
              <w:top w:val="single" w:color="C9C2B5" w:sz="4"/>
              <w:left w:val="single" w:color="C9C2B5" w:sz="4"/>
              <w:bottom w:val="single" w:color="C9C2B5" w:sz="4"/>
              <w:right w:val="single" w:color="C9C2B5" w:sz="4"/>
            </w:tcBorders>
            <w:shd w:fill="F2EDE4" w:color="auto" w:val="clear"/>
            <w:tcMar>
              <w:top w:type="dxa" w:w="90"/>
              <w:left w:type="dxa" w:w="100"/>
              <w:bottom w:type="dxa" w:w="90"/>
              <w:right w:type="dxa" w:w="100"/>
            </w:tcMar>
          </w:tcPr>
          <w:p>
            <w:pPr>
              <w:spacing w:after="0" w:before="0"/>
            </w:pPr>
            <w:r>
              <w:rPr>
                <w:rFonts w:ascii="Calibri" w:cs="Calibri" w:eastAsia="Calibri" w:hAnsi="Calibri"/>
                <w:b/>
                <w:bCs/>
                <w:color w:val="16232F"/>
                <w:sz w:val="19"/>
                <w:szCs w:val="19"/>
              </w:rPr>
              <w:t xml:space="preserve">Inquiry-to-admission rate</w:t>
            </w:r>
          </w:p>
        </w:tc>
        <w:tc>
          <w:tcPr>
            <w:tcW w:type="dxa" w:w="568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Share of inquiries that become starts of care.</w:t>
            </w:r>
          </w:p>
        </w:tc>
        <w:tc>
          <w:tcPr>
            <w:tcW w:type="dxa" w:w="180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[fill in] %</w:t>
            </w:r>
          </w:p>
        </w:tc>
      </w:tr>
      <w:tr>
        <w:trPr>
          <w:cantSplit/>
          <w:trHeight w:val="440" w:hRule="atLeast"/>
        </w:trPr>
        <w:tc>
          <w:tcPr>
            <w:tcW w:type="dxa" w:w="2600"/>
            <w:tcBorders>
              <w:top w:val="single" w:color="C9C2B5" w:sz="4"/>
              <w:left w:val="single" w:color="C9C2B5" w:sz="4"/>
              <w:bottom w:val="single" w:color="C9C2B5" w:sz="4"/>
              <w:right w:val="single" w:color="C9C2B5" w:sz="4"/>
            </w:tcBorders>
            <w:shd w:fill="F2EDE4" w:color="auto" w:val="clear"/>
            <w:tcMar>
              <w:top w:type="dxa" w:w="90"/>
              <w:left w:type="dxa" w:w="100"/>
              <w:bottom w:type="dxa" w:w="90"/>
              <w:right w:type="dxa" w:w="100"/>
            </w:tcMar>
          </w:tcPr>
          <w:p>
            <w:pPr>
              <w:spacing w:after="0" w:before="0"/>
            </w:pPr>
            <w:r>
              <w:rPr>
                <w:rFonts w:ascii="Calibri" w:cs="Calibri" w:eastAsia="Calibri" w:hAnsi="Calibri"/>
                <w:b/>
                <w:bCs/>
                <w:color w:val="16232F"/>
                <w:sz w:val="19"/>
                <w:szCs w:val="19"/>
              </w:rPr>
              <w:t xml:space="preserve">Starts of care by source</w:t>
            </w:r>
          </w:p>
        </w:tc>
        <w:tc>
          <w:tcPr>
            <w:tcW w:type="dxa" w:w="568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New clients, by referring organization.</w:t>
            </w:r>
          </w:p>
        </w:tc>
        <w:tc>
          <w:tcPr>
            <w:tcW w:type="dxa" w:w="180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[fill in] / month</w:t>
            </w:r>
          </w:p>
        </w:tc>
      </w:tr>
      <w:tr>
        <w:trPr>
          <w:cantSplit/>
          <w:trHeight w:val="440" w:hRule="atLeast"/>
        </w:trPr>
        <w:tc>
          <w:tcPr>
            <w:tcW w:type="dxa" w:w="2600"/>
            <w:tcBorders>
              <w:top w:val="single" w:color="C9C2B5" w:sz="4"/>
              <w:left w:val="single" w:color="C9C2B5" w:sz="4"/>
              <w:bottom w:val="single" w:color="C9C2B5" w:sz="4"/>
              <w:right w:val="single" w:color="C9C2B5" w:sz="4"/>
            </w:tcBorders>
            <w:shd w:fill="F2EDE4" w:color="auto" w:val="clear"/>
            <w:tcMar>
              <w:top w:type="dxa" w:w="90"/>
              <w:left w:type="dxa" w:w="100"/>
              <w:bottom w:type="dxa" w:w="90"/>
              <w:right w:type="dxa" w:w="100"/>
            </w:tcMar>
          </w:tcPr>
          <w:p>
            <w:pPr>
              <w:spacing w:after="0" w:before="0"/>
            </w:pPr>
            <w:r>
              <w:rPr>
                <w:rFonts w:ascii="Calibri" w:cs="Calibri" w:eastAsia="Calibri" w:hAnsi="Calibri"/>
                <w:b/>
                <w:bCs/>
                <w:color w:val="16232F"/>
                <w:sz w:val="19"/>
                <w:szCs w:val="19"/>
              </w:rPr>
              <w:t xml:space="preserve">Follow-up completion</w:t>
            </w:r>
          </w:p>
        </w:tc>
        <w:tc>
          <w:tcPr>
            <w:tcW w:type="dxa" w:w="568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Promised follow-ups completed on time.</w:t>
            </w:r>
          </w:p>
        </w:tc>
        <w:tc>
          <w:tcPr>
            <w:tcW w:type="dxa" w:w="180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[fill in] %</w:t>
            </w:r>
          </w:p>
        </w:tc>
      </w:tr>
      <w:tr>
        <w:trPr>
          <w:cantSplit/>
          <w:trHeight w:val="440" w:hRule="atLeast"/>
        </w:trPr>
        <w:tc>
          <w:tcPr>
            <w:tcW w:type="dxa" w:w="2600"/>
            <w:tcBorders>
              <w:top w:val="single" w:color="C9C2B5" w:sz="4"/>
              <w:left w:val="single" w:color="C9C2B5" w:sz="4"/>
              <w:bottom w:val="single" w:color="C9C2B5" w:sz="4"/>
              <w:right w:val="single" w:color="C9C2B5" w:sz="4"/>
            </w:tcBorders>
            <w:shd w:fill="F2EDE4" w:color="auto" w:val="clear"/>
            <w:tcMar>
              <w:top w:type="dxa" w:w="90"/>
              <w:left w:type="dxa" w:w="100"/>
              <w:bottom w:type="dxa" w:w="90"/>
              <w:right w:type="dxa" w:w="100"/>
            </w:tcMar>
          </w:tcPr>
          <w:p>
            <w:pPr>
              <w:spacing w:after="0" w:before="0"/>
            </w:pPr>
            <w:r>
              <w:rPr>
                <w:rFonts w:ascii="Calibri" w:cs="Calibri" w:eastAsia="Calibri" w:hAnsi="Calibri"/>
                <w:b/>
                <w:bCs/>
                <w:color w:val="16232F"/>
                <w:sz w:val="19"/>
                <w:szCs w:val="19"/>
              </w:rPr>
              <w:t xml:space="preserve">Reactivated sources</w:t>
            </w:r>
          </w:p>
        </w:tc>
        <w:tc>
          <w:tcPr>
            <w:tcW w:type="dxa" w:w="568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Dormant sources that referred again this quarter.</w:t>
            </w:r>
          </w:p>
        </w:tc>
        <w:tc>
          <w:tcPr>
            <w:tcW w:type="dxa" w:w="1800"/>
            <w:tcBorders>
              <w:top w:val="single" w:color="C9C2B5" w:sz="4"/>
              <w:left w:val="single" w:color="C9C2B5" w:sz="4"/>
              <w:bottom w:val="single" w:color="C9C2B5" w:sz="4"/>
              <w:right w:val="single" w:color="C9C2B5" w:sz="4"/>
            </w:tcBorders>
            <w:tcMar>
              <w:top w:type="dxa" w:w="90"/>
              <w:left w:type="dxa" w:w="100"/>
              <w:bottom w:type="dxa" w:w="90"/>
              <w:right w:type="dxa" w:w="100"/>
            </w:tcMar>
          </w:tcPr>
          <w:p>
            <w:pPr>
              <w:spacing w:after="0" w:before="0"/>
            </w:pPr>
            <w:r>
              <w:rPr>
                <w:rFonts w:ascii="Calibri" w:cs="Calibri" w:eastAsia="Calibri" w:hAnsi="Calibri"/>
                <w:color w:val="16232F"/>
                <w:sz w:val="19"/>
                <w:szCs w:val="19"/>
              </w:rPr>
              <w:t xml:space="preserve">[fill in] / quarter</w:t>
            </w:r>
          </w:p>
        </w:tc>
      </w:tr>
    </w:tbl>
    <w:p>
      <w:pPr>
        <w:keepNext/>
        <w:spacing w:after="60" w:before="320"/>
      </w:pPr>
      <w:r>
        <w:rPr>
          <w:rFonts w:ascii="Calibri" w:cs="Calibri" w:eastAsia="Calibri" w:hAnsi="Calibri"/>
          <w:b/>
          <w:bCs/>
          <w:color w:val="15828F"/>
          <w:sz w:val="26"/>
          <w:szCs w:val="26"/>
        </w:rPr>
        <w:t xml:space="preserve">6. COMPENSATION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Base pay</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[fill in]</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Incentive or bonus</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[fill in]</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Mileage or vehicle allowance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[fill in]</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Benefits</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[fill in]</w:t>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Equal employment opportunity statement</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i/>
                <w:iCs/>
                <w:color w:val="4A5560"/>
                <w:sz w:val="19"/>
                <w:szCs w:val="19"/>
              </w:rPr>
              <w:t xml:space="preserve">[Insert your agency's EEO statement]</w:t>
            </w:r>
          </w:p>
        </w:tc>
      </w:tr>
    </w:tbl>
    <w:p>
      <w:pPr>
        <w:spacing w:after="0" w:before="0"/>
      </w:pPr>
      <w:r>
        <w:rPr>
          <w:rFonts w:ascii="Calibri" w:cs="Calibri" w:eastAsia="Calibri" w:hAnsi="Calibri"/>
          <w:color w:val="4A5560"/>
          <w:sz w:val="18"/>
          <w:szCs w:val="18"/>
        </w:rPr>
        <w:t xml:space="preserve">Incentive pay tied to referrals or admissions can raise legal questions for agencies that bill any government program. Have your healthcare attorney or compliance officer review the structure before you offer it.</w:t>
      </w:r>
    </w:p>
    <w:p>
      <w:pPr>
        <w:pBdr>
          <w:left w:val="single" w:color="15828F" w:sz="18" w:space="8"/>
        </w:pBdr>
        <w:shd w:fill="F2EDE4" w:color="auto" w:val="clear"/>
        <w:spacing w:after="120" w:before="160"/>
      </w:pPr>
      <w:r>
        <w:rPr>
          <w:rFonts w:ascii="Calibri" w:cs="Calibri" w:eastAsia="Calibri" w:hAnsi="Calibri"/>
          <w:b/>
          <w:bCs/>
          <w:color w:val="16232F"/>
          <w:sz w:val="18"/>
          <w:szCs w:val="18"/>
        </w:rPr>
        <w:t xml:space="preserve">Before you use this job description: </w:t>
      </w:r>
      <w:r>
        <w:rPr>
          <w:rFonts w:ascii="Calibri" w:cs="Calibri" w:eastAsia="Calibri" w:hAnsi="Calibri"/>
          <w:color w:val="16232F"/>
          <w:sz w:val="18"/>
          <w:szCs w:val="18"/>
        </w:rPr>
        <w:t xml:space="preserve">this template is a starting point, not legal or HR advice. Job descriptions affect pay classification, hiring decisions, and compliance with federal, state, and local employment law. Have your HR advisor or employment counsel review the final version before you post it or hire from it.</w:t>
      </w:r>
    </w:p>
    <w:sectPr>
      <w:footerReference w:type="default" r:id="rId6"/>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Calibri" w:cs="Calibri" w:eastAsia="Calibri" w:hAnsi="Calibri"/>
        <w:color w:val="4A5560"/>
        <w:sz w:val="16"/>
        <w:szCs w:val="16"/>
      </w:rPr>
      <w:t xml:space="preserve">Template by Approved Senior Network®  |  asnhomecaremarketing.com  |  Page </w:t>
    </w:r>
    <w:r>
      <w:rPr>
        <w:rFonts w:ascii="Calibri" w:cs="Calibri" w:eastAsia="Calibri" w:hAnsi="Calibri"/>
        <w:color w:val="4A5560"/>
        <w:sz w:val="16"/>
        <w:szCs w:val="16"/>
      </w:rPr>
      <w:fldChar w:fldCharType="begin"/>
    </w:r>
    <w:r>
      <w:rPr>
        <w:rFonts w:ascii="Calibri" w:cs="Calibri" w:eastAsia="Calibri" w:hAnsi="Calibri"/>
        <w:color w:val="4A5560"/>
        <w:sz w:val="16"/>
        <w:szCs w:val="16"/>
      </w:rPr>
      <w:instrText xml:space="preserve">PAGE</w:instrText>
    </w:r>
    <w:r>
      <w:rPr>
        <w:rFonts w:ascii="Calibri" w:cs="Calibri" w:eastAsia="Calibri" w:hAnsi="Calibri"/>
        <w:color w:val="4A5560"/>
        <w:sz w:val="16"/>
        <w:szCs w:val="16"/>
      </w:rPr>
      <w:fldChar w:fldCharType="separate"/>
    </w:r>
    <w:r>
      <w:rPr>
        <w:rFonts w:ascii="Calibri" w:cs="Calibri" w:eastAsia="Calibri" w:hAnsi="Calibri"/>
        <w:color w:val="4A556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15828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232F"/>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Liaison Job Description Template</dc:title>
  <dc:creator>Approved Senior Network</dc:creator>
  <dc:description>Fill-in community liaison job description for home care agencies.</dc:description>
  <cp:lastModifiedBy>Un-named</cp:lastModifiedBy>
  <cp:revision>1</cp:revision>
  <dcterms:created xsi:type="dcterms:W3CDTF">2026-10-29T20:10:12.030Z</dcterms:created>
  <dcterms:modified xsi:type="dcterms:W3CDTF">2026-10-29T20:10:12.030Z</dcterms:modified>
</cp:coreProperties>
</file>

<file path=docProps/custom.xml><?xml version="1.0" encoding="utf-8"?>
<Properties xmlns="http://schemas.openxmlformats.org/officeDocument/2006/custom-properties" xmlns:vt="http://schemas.openxmlformats.org/officeDocument/2006/docPropsVTypes"/>
</file>